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梨树县东河镇中心小学校</w:t>
      </w:r>
    </w:p>
    <w:p>
      <w:pPr>
        <w:tabs>
          <w:tab w:val="left" w:pos="2865"/>
        </w:tabs>
        <w:jc w:val="center"/>
        <w:outlineLvl w:val="0"/>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目录</w:t>
      </w:r>
    </w:p>
    <w:p>
      <w:pPr>
        <w:tabs>
          <w:tab w:val="left" w:pos="2595"/>
        </w:tabs>
        <w:jc w:val="left"/>
        <w:rPr>
          <w:rFonts w:ascii="宋体"/>
          <w:b/>
          <w:sz w:val="32"/>
          <w:szCs w:val="32"/>
        </w:rPr>
      </w:pPr>
      <w:r>
        <w:rPr>
          <w:rFonts w:hint="eastAsia" w:ascii="宋体" w:hAnsi="宋体"/>
          <w:b/>
          <w:sz w:val="32"/>
          <w:szCs w:val="32"/>
        </w:rPr>
        <w:t>第一部分部门概况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sz w:val="32"/>
          <w:szCs w:val="32"/>
        </w:rPr>
      </w:pPr>
      <w:r>
        <w:rPr>
          <w:rFonts w:hint="eastAsia"/>
          <w:sz w:val="32"/>
          <w:szCs w:val="32"/>
        </w:rPr>
        <w:t>一般公共预算财政拨款部门经济分类支出预算表</w:t>
      </w:r>
    </w:p>
    <w:p>
      <w:pPr>
        <w:pStyle w:val="9"/>
        <w:numPr>
          <w:ilvl w:val="0"/>
          <w:numId w:val="2"/>
        </w:numPr>
        <w:ind w:firstLineChars="0"/>
        <w:jc w:val="left"/>
        <w:rPr>
          <w:sz w:val="32"/>
          <w:szCs w:val="32"/>
        </w:rPr>
      </w:pPr>
      <w:r>
        <w:rPr>
          <w:rFonts w:hint="eastAsia"/>
          <w:sz w:val="32"/>
          <w:szCs w:val="32"/>
        </w:rPr>
        <w:t>一般公共预算财政拨款政府经济分类支出预算表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第三部分情况说明</w:t>
      </w:r>
    </w:p>
    <w:p>
      <w:pPr>
        <w:pStyle w:val="9"/>
        <w:ind w:firstLine="0" w:firstLineChars="0"/>
        <w:rPr>
          <w:b/>
          <w:sz w:val="32"/>
          <w:szCs w:val="32"/>
        </w:rPr>
      </w:pPr>
      <w:r>
        <w:rPr>
          <w:rFonts w:hint="eastAsia"/>
          <w:b/>
          <w:sz w:val="32"/>
          <w:szCs w:val="32"/>
        </w:rPr>
        <w:t>第四部分名词解释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第一部分部门概况</w:t>
      </w:r>
    </w:p>
    <w:p>
      <w:pPr>
        <w:numPr>
          <w:ilvl w:val="0"/>
          <w:numId w:val="3"/>
        </w:numPr>
        <w:rPr>
          <w:sz w:val="32"/>
          <w:szCs w:val="32"/>
        </w:rPr>
      </w:pPr>
      <w:r>
        <w:rPr>
          <w:rFonts w:hint="eastAsia"/>
          <w:sz w:val="32"/>
          <w:szCs w:val="32"/>
        </w:rPr>
        <w:t>主要职能</w:t>
      </w:r>
    </w:p>
    <w:p>
      <w:pPr>
        <w:ind w:firstLine="640" w:firstLineChars="200"/>
        <w:rPr>
          <w:sz w:val="32"/>
          <w:szCs w:val="32"/>
        </w:rPr>
      </w:pPr>
      <w:r>
        <w:rPr>
          <w:rFonts w:hint="eastAsia" w:ascii="宋体" w:hAnsi="宋体"/>
          <w:sz w:val="32"/>
        </w:rPr>
        <w:t>全面贯彻落实党的教育方针政策，依法办学，依法治校，全面推进素质教育；坚持“以德育为首，教育为主，育人为本的”办学原则；坚持社会主义办学方向，全面贯彻国家教育方针，在教育行政部门的统一领导下，组织实施教学工作；加强对教职工思想素质教育，教师必须执行国家教育方针和教学计划，树立正确教育观、人才观和质量观，全面实施素质教育，教书育人，完成教育教学工作；培养学生能力，使学生能够努力学习，积极参加学校组织的各项活动，尊敬师长，团结同学，关心集体，热爱学校，使学生成为德、智、体、美、劳全面发展的优秀学生，真正达到教书育人的目的</w:t>
      </w:r>
      <w:r>
        <w:rPr>
          <w:rFonts w:hint="eastAsia"/>
          <w:sz w:val="32"/>
          <w:szCs w:val="32"/>
        </w:rPr>
        <w:t>。</w:t>
      </w:r>
    </w:p>
    <w:p>
      <w:pPr>
        <w:ind w:firstLine="640" w:firstLineChars="200"/>
        <w:rPr>
          <w:sz w:val="32"/>
          <w:szCs w:val="32"/>
        </w:rPr>
      </w:pPr>
      <w:r>
        <w:rPr>
          <w:rFonts w:hint="eastAsia"/>
          <w:sz w:val="32"/>
          <w:szCs w:val="32"/>
        </w:rPr>
        <w:t>二、机构设置</w:t>
      </w:r>
    </w:p>
    <w:p>
      <w:pPr>
        <w:tabs>
          <w:tab w:val="left" w:pos="690"/>
        </w:tabs>
        <w:rPr>
          <w:rFonts w:ascii="宋体"/>
          <w:sz w:val="32"/>
          <w:szCs w:val="32"/>
        </w:rPr>
      </w:pPr>
      <w:r>
        <w:rPr>
          <w:sz w:val="32"/>
          <w:szCs w:val="32"/>
        </w:rPr>
        <w:tab/>
      </w:r>
      <w:r>
        <w:rPr>
          <w:rFonts w:hint="eastAsia"/>
          <w:sz w:val="32"/>
          <w:szCs w:val="32"/>
        </w:rPr>
        <w:t>根据上述职责，梨树县东河镇中心小学校，全额拨款事业单位，隶属于梨树县教育局。</w:t>
      </w:r>
    </w:p>
    <w:p>
      <w:pPr>
        <w:tabs>
          <w:tab w:val="left" w:pos="690"/>
        </w:tabs>
        <w:jc w:val="center"/>
        <w:rPr>
          <w:rFonts w:hint="eastAsia" w:ascii="宋体" w:hAnsi="宋体"/>
          <w:b/>
          <w:sz w:val="32"/>
          <w:szCs w:val="32"/>
        </w:rPr>
      </w:pPr>
      <w:r>
        <w:rPr>
          <w:rFonts w:hint="eastAsia" w:ascii="宋体" w:hAnsi="宋体"/>
          <w:b/>
          <w:sz w:val="32"/>
          <w:szCs w:val="32"/>
        </w:rPr>
        <w:t>第二部分预算表格</w:t>
      </w:r>
    </w:p>
    <w:p>
      <w:pPr>
        <w:tabs>
          <w:tab w:val="left" w:pos="690"/>
        </w:tabs>
        <w:jc w:val="both"/>
        <w:rPr>
          <w:rFonts w:hint="eastAsia" w:ascii="宋体" w:hAnsi="宋体"/>
          <w:b/>
          <w:sz w:val="32"/>
          <w:szCs w:val="32"/>
          <w:lang w:eastAsia="zh-CN"/>
        </w:rPr>
      </w:pPr>
    </w:p>
    <w:p>
      <w:pPr>
        <w:tabs>
          <w:tab w:val="left" w:pos="690"/>
        </w:tabs>
        <w:jc w:val="both"/>
        <w:rPr>
          <w:rFonts w:hint="eastAsia" w:ascii="宋体" w:hAnsi="宋体" w:eastAsia="宋体"/>
          <w:b/>
          <w:sz w:val="32"/>
          <w:szCs w:val="32"/>
          <w:lang w:eastAsia="zh-CN"/>
        </w:rPr>
      </w:pPr>
      <w:r>
        <w:rPr>
          <w:rFonts w:hint="eastAsia" w:ascii="宋体" w:hAnsi="宋体"/>
          <w:b/>
          <w:sz w:val="32"/>
          <w:szCs w:val="32"/>
          <w:lang w:eastAsia="zh-CN"/>
        </w:rPr>
        <w:t>收支预算表</w:t>
      </w:r>
    </w:p>
    <w:p>
      <w:pPr>
        <w:tabs>
          <w:tab w:val="left" w:pos="690"/>
        </w:tabs>
        <w:jc w:val="center"/>
      </w:pPr>
      <w:r>
        <w:drawing>
          <wp:inline distT="0" distB="0" distL="114300" distR="114300">
            <wp:extent cx="5268595" cy="3932555"/>
            <wp:effectExtent l="0" t="0" r="8255" b="1079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4"/>
                    <a:stretch>
                      <a:fillRect/>
                    </a:stretch>
                  </pic:blipFill>
                  <pic:spPr>
                    <a:xfrm>
                      <a:off x="0" y="0"/>
                      <a:ext cx="5268595" cy="3932555"/>
                    </a:xfrm>
                    <a:prstGeom prst="rect">
                      <a:avLst/>
                    </a:prstGeom>
                    <a:noFill/>
                    <a:ln>
                      <a:noFill/>
                    </a:ln>
                  </pic:spPr>
                </pic:pic>
              </a:graphicData>
            </a:graphic>
          </wp:inline>
        </w:drawing>
      </w:r>
    </w:p>
    <w:p>
      <w:pPr>
        <w:tabs>
          <w:tab w:val="left" w:pos="690"/>
        </w:tabs>
        <w:jc w:val="center"/>
      </w:pPr>
    </w:p>
    <w:p>
      <w:pPr>
        <w:tabs>
          <w:tab w:val="left" w:pos="690"/>
        </w:tabs>
        <w:jc w:val="center"/>
      </w:pPr>
    </w:p>
    <w:p>
      <w:pPr>
        <w:tabs>
          <w:tab w:val="left" w:pos="690"/>
        </w:tabs>
        <w:jc w:val="both"/>
        <w:rPr>
          <w:rFonts w:hint="eastAsia" w:eastAsia="宋体"/>
          <w:lang w:eastAsia="zh-CN"/>
        </w:rPr>
      </w:pPr>
      <w:r>
        <w:rPr>
          <w:rFonts w:hint="eastAsia"/>
          <w:lang w:eastAsia="zh-CN"/>
        </w:rPr>
        <w:t>收入预算表</w:t>
      </w:r>
    </w:p>
    <w:p>
      <w:pPr>
        <w:tabs>
          <w:tab w:val="left" w:pos="690"/>
        </w:tabs>
        <w:jc w:val="center"/>
        <w:rPr>
          <w:rFonts w:ascii="宋体"/>
          <w:b/>
          <w:sz w:val="32"/>
          <w:szCs w:val="32"/>
        </w:rPr>
      </w:pPr>
      <w:r>
        <w:drawing>
          <wp:inline distT="0" distB="0" distL="114300" distR="114300">
            <wp:extent cx="5269865" cy="3870325"/>
            <wp:effectExtent l="0" t="0" r="6985" b="15875"/>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pic:cNvPicPr>
                      <a:picLocks noChangeAspect="1"/>
                    </pic:cNvPicPr>
                  </pic:nvPicPr>
                  <pic:blipFill>
                    <a:blip r:embed="rId5"/>
                    <a:stretch>
                      <a:fillRect/>
                    </a:stretch>
                  </pic:blipFill>
                  <pic:spPr>
                    <a:xfrm>
                      <a:off x="0" y="0"/>
                      <a:ext cx="5269865" cy="3870325"/>
                    </a:xfrm>
                    <a:prstGeom prst="rect">
                      <a:avLst/>
                    </a:prstGeom>
                    <a:noFill/>
                    <a:ln>
                      <a:noFill/>
                    </a:ln>
                  </pic:spPr>
                </pic:pic>
              </a:graphicData>
            </a:graphic>
          </wp:inline>
        </w:drawing>
      </w:r>
    </w:p>
    <w:p>
      <w:pPr>
        <w:tabs>
          <w:tab w:val="left" w:pos="690"/>
        </w:tabs>
      </w:pPr>
    </w:p>
    <w:p>
      <w:pPr>
        <w:tabs>
          <w:tab w:val="left" w:pos="690"/>
        </w:tabs>
      </w:pPr>
    </w:p>
    <w:p>
      <w:pPr>
        <w:tabs>
          <w:tab w:val="left" w:pos="690"/>
        </w:tabs>
        <w:rPr>
          <w:rFonts w:hint="eastAsia" w:eastAsia="宋体"/>
          <w:sz w:val="28"/>
          <w:szCs w:val="28"/>
          <w:lang w:eastAsia="zh-CN"/>
        </w:rPr>
      </w:pPr>
      <w:r>
        <w:rPr>
          <w:rFonts w:hint="eastAsia"/>
          <w:sz w:val="28"/>
          <w:szCs w:val="28"/>
          <w:lang w:eastAsia="zh-CN"/>
        </w:rPr>
        <w:t>支出预算表</w:t>
      </w:r>
    </w:p>
    <w:p>
      <w:pPr>
        <w:tabs>
          <w:tab w:val="left" w:pos="690"/>
        </w:tabs>
      </w:pPr>
      <w:bookmarkStart w:id="0" w:name="_GoBack"/>
      <w:r>
        <w:drawing>
          <wp:inline distT="0" distB="0" distL="114300" distR="114300">
            <wp:extent cx="5269865" cy="2841625"/>
            <wp:effectExtent l="0" t="0" r="6985" b="15875"/>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6"/>
                    <a:stretch>
                      <a:fillRect/>
                    </a:stretch>
                  </pic:blipFill>
                  <pic:spPr>
                    <a:xfrm>
                      <a:off x="0" y="0"/>
                      <a:ext cx="5269865" cy="2841625"/>
                    </a:xfrm>
                    <a:prstGeom prst="rect">
                      <a:avLst/>
                    </a:prstGeom>
                    <a:noFill/>
                    <a:ln>
                      <a:noFill/>
                    </a:ln>
                  </pic:spPr>
                </pic:pic>
              </a:graphicData>
            </a:graphic>
          </wp:inline>
        </w:drawing>
      </w:r>
      <w:bookmarkEnd w:id="0"/>
    </w:p>
    <w:p>
      <w:pPr>
        <w:tabs>
          <w:tab w:val="left" w:pos="690"/>
        </w:tabs>
      </w:pPr>
    </w:p>
    <w:p>
      <w:pPr>
        <w:tabs>
          <w:tab w:val="left" w:pos="690"/>
        </w:tabs>
      </w:pPr>
    </w:p>
    <w:p>
      <w:pPr>
        <w:tabs>
          <w:tab w:val="left" w:pos="690"/>
        </w:tabs>
      </w:pPr>
    </w:p>
    <w:p>
      <w:pPr>
        <w:tabs>
          <w:tab w:val="left" w:pos="690"/>
        </w:tabs>
      </w:pPr>
    </w:p>
    <w:p>
      <w:pPr>
        <w:tabs>
          <w:tab w:val="left" w:pos="690"/>
        </w:tabs>
        <w:rPr>
          <w:sz w:val="28"/>
          <w:szCs w:val="28"/>
        </w:rPr>
      </w:pPr>
    </w:p>
    <w:p>
      <w:pPr>
        <w:tabs>
          <w:tab w:val="left" w:pos="690"/>
        </w:tabs>
        <w:rPr>
          <w:rFonts w:hint="eastAsia" w:eastAsia="宋体"/>
          <w:sz w:val="28"/>
          <w:szCs w:val="28"/>
          <w:lang w:eastAsia="zh-CN"/>
        </w:rPr>
      </w:pPr>
      <w:r>
        <w:rPr>
          <w:rFonts w:hint="eastAsia"/>
          <w:sz w:val="28"/>
          <w:szCs w:val="28"/>
          <w:lang w:eastAsia="zh-CN"/>
        </w:rPr>
        <w:t>一般公共预算财政拨款功能分类支出预算表</w:t>
      </w:r>
    </w:p>
    <w:p>
      <w:pPr>
        <w:tabs>
          <w:tab w:val="left" w:pos="690"/>
        </w:tabs>
      </w:pPr>
      <w:r>
        <w:drawing>
          <wp:inline distT="0" distB="0" distL="114300" distR="114300">
            <wp:extent cx="5269230" cy="3343275"/>
            <wp:effectExtent l="0" t="0" r="7620" b="9525"/>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
                    <pic:cNvPicPr>
                      <a:picLocks noChangeAspect="1"/>
                    </pic:cNvPicPr>
                  </pic:nvPicPr>
                  <pic:blipFill>
                    <a:blip r:embed="rId7"/>
                    <a:stretch>
                      <a:fillRect/>
                    </a:stretch>
                  </pic:blipFill>
                  <pic:spPr>
                    <a:xfrm>
                      <a:off x="0" y="0"/>
                      <a:ext cx="5269230" cy="3343275"/>
                    </a:xfrm>
                    <a:prstGeom prst="rect">
                      <a:avLst/>
                    </a:prstGeom>
                    <a:noFill/>
                    <a:ln>
                      <a:noFill/>
                    </a:ln>
                  </pic:spPr>
                </pic:pic>
              </a:graphicData>
            </a:graphic>
          </wp:inline>
        </w:drawing>
      </w:r>
    </w:p>
    <w:p>
      <w:pPr>
        <w:tabs>
          <w:tab w:val="left" w:pos="690"/>
        </w:tabs>
      </w:pPr>
    </w:p>
    <w:p>
      <w:pPr>
        <w:tabs>
          <w:tab w:val="left" w:pos="690"/>
        </w:tabs>
      </w:pPr>
      <w:r>
        <w:pict>
          <v:shape id="_x0000_i1030" o:spt="75" type="#_x0000_t75" style="height:697.5pt;width:239.25pt;" filled="f" o:preferrelative="t" stroked="f" coordsize="21600,21600">
            <v:path/>
            <v:fill on="f" focussize="0,0"/>
            <v:stroke on="f" joinstyle="miter"/>
            <v:imagedata r:id="rId8" o:title=""/>
            <o:lock v:ext="edit" aspectratio="t"/>
            <w10:wrap type="none"/>
            <w10:anchorlock/>
          </v:shape>
        </w:pict>
      </w:r>
    </w:p>
    <w:p>
      <w:pPr>
        <w:tabs>
          <w:tab w:val="left" w:pos="690"/>
        </w:tabs>
      </w:pPr>
      <w:r>
        <w:pict>
          <v:shape id="_x0000_i1031" o:spt="75" type="#_x0000_t75" style="height:696.75pt;width:279.75pt;" filled="f" o:preferrelative="t" stroked="f" coordsize="21600,21600">
            <v:path/>
            <v:fill on="f" focussize="0,0"/>
            <v:stroke on="f" joinstyle="miter"/>
            <v:imagedata r:id="rId9" o:title=""/>
            <o:lock v:ext="edit" aspectratio="t"/>
            <w10:wrap type="none"/>
            <w10:anchorlock/>
          </v:shape>
        </w:pict>
      </w:r>
    </w:p>
    <w:p>
      <w:pPr>
        <w:tabs>
          <w:tab w:val="left" w:pos="690"/>
        </w:tabs>
      </w:pPr>
      <w:r>
        <w:pict>
          <v:shape id="_x0000_i1032" o:spt="75" type="#_x0000_t75" style="height:237pt;width:414.75pt;" filled="f" o:preferrelative="t" stroked="f" coordsize="21600,21600">
            <v:path/>
            <v:fill on="f" focussize="0,0"/>
            <v:stroke on="f" joinstyle="miter"/>
            <v:imagedata r:id="rId10" o:title=""/>
            <o:lock v:ext="edit" aspectratio="t"/>
            <w10:wrap type="none"/>
            <w10:anchorlock/>
          </v:shape>
        </w:pict>
      </w:r>
    </w:p>
    <w:p>
      <w:pPr>
        <w:tabs>
          <w:tab w:val="left" w:pos="690"/>
        </w:tabs>
      </w:pPr>
      <w:r>
        <w:pict>
          <v:shape id="_x0000_i1033" o:spt="75" type="#_x0000_t75" style="height:292.5pt;width:414.75pt;" filled="f" o:preferrelative="t" stroked="f" coordsize="21600,21600">
            <v:path/>
            <v:fill on="f" focussize="0,0"/>
            <v:stroke on="f" joinstyle="miter"/>
            <v:imagedata r:id="rId11" o:title=""/>
            <o:lock v:ext="edit" aspectratio="t"/>
            <w10:wrap type="none"/>
            <w10:anchorlock/>
          </v:shape>
        </w:pict>
      </w:r>
    </w:p>
    <w:p>
      <w:pPr>
        <w:tabs>
          <w:tab w:val="left" w:pos="690"/>
        </w:tabs>
        <w:rPr>
          <w:rFonts w:ascii="宋体"/>
          <w:sz w:val="32"/>
          <w:szCs w:val="32"/>
        </w:rPr>
      </w:pPr>
      <w:r>
        <w:drawing>
          <wp:inline distT="0" distB="0" distL="114300" distR="114300">
            <wp:extent cx="5267325" cy="7696200"/>
            <wp:effectExtent l="0" t="0" r="9525" b="0"/>
            <wp:docPr id="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9"/>
                    <pic:cNvPicPr>
                      <a:picLocks noChangeAspect="1"/>
                    </pic:cNvPicPr>
                  </pic:nvPicPr>
                  <pic:blipFill>
                    <a:blip r:embed="rId12"/>
                    <a:stretch>
                      <a:fillRect/>
                    </a:stretch>
                  </pic:blipFill>
                  <pic:spPr>
                    <a:xfrm>
                      <a:off x="0" y="0"/>
                      <a:ext cx="5267325" cy="7696200"/>
                    </a:xfrm>
                    <a:prstGeom prst="rect">
                      <a:avLst/>
                    </a:prstGeom>
                    <a:noFill/>
                    <a:ln>
                      <a:noFill/>
                    </a:ln>
                  </pic:spPr>
                </pic:pic>
              </a:graphicData>
            </a:graphic>
          </wp:inline>
        </w:drawing>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outlineLvl w:val="0"/>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w:t>
      </w:r>
      <w:r>
        <w:rPr>
          <w:rFonts w:ascii="宋体"/>
          <w:sz w:val="32"/>
          <w:szCs w:val="32"/>
        </w:rPr>
        <w:t>1561.87</w:t>
      </w:r>
      <w:r>
        <w:rPr>
          <w:rFonts w:hint="eastAsia" w:ascii="宋体"/>
          <w:sz w:val="32"/>
          <w:szCs w:val="32"/>
        </w:rPr>
        <w:t>万元，比2021年预算增加（减少）</w:t>
      </w:r>
      <w:r>
        <w:rPr>
          <w:rFonts w:ascii="宋体"/>
          <w:sz w:val="32"/>
          <w:szCs w:val="32"/>
        </w:rPr>
        <w:t>0</w:t>
      </w:r>
      <w:r>
        <w:rPr>
          <w:rFonts w:hint="eastAsia" w:ascii="宋体"/>
          <w:sz w:val="32"/>
          <w:szCs w:val="32"/>
        </w:rPr>
        <w:t>万元，主要原因是</w:t>
      </w:r>
      <w:r>
        <w:rPr>
          <w:rFonts w:ascii="宋体"/>
          <w:sz w:val="32"/>
          <w:szCs w:val="32"/>
        </w:rPr>
        <w:tab/>
      </w:r>
      <w:r>
        <w:rPr>
          <w:rFonts w:hint="eastAsia" w:ascii="宋体"/>
          <w:sz w:val="32"/>
          <w:szCs w:val="32"/>
        </w:rPr>
        <w:t>。</w:t>
      </w:r>
    </w:p>
    <w:p>
      <w:pPr>
        <w:tabs>
          <w:tab w:val="left" w:pos="1200"/>
          <w:tab w:val="right" w:pos="8306"/>
        </w:tabs>
        <w:ind w:firstLine="630"/>
        <w:jc w:val="left"/>
        <w:outlineLvl w:val="0"/>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 xml:space="preserve">2021年收入预算 </w:t>
      </w:r>
      <w:r>
        <w:rPr>
          <w:rFonts w:ascii="宋体"/>
          <w:sz w:val="32"/>
          <w:szCs w:val="32"/>
        </w:rPr>
        <w:t>1561.87</w:t>
      </w:r>
      <w:r>
        <w:rPr>
          <w:rFonts w:hint="eastAsia" w:ascii="宋体"/>
          <w:sz w:val="32"/>
          <w:szCs w:val="32"/>
        </w:rPr>
        <w:t>万元，其中：本年收入</w:t>
      </w:r>
      <w:r>
        <w:rPr>
          <w:rFonts w:ascii="宋体"/>
          <w:sz w:val="32"/>
          <w:szCs w:val="32"/>
        </w:rPr>
        <w:t>1561.87</w:t>
      </w:r>
      <w:r>
        <w:rPr>
          <w:rFonts w:hint="eastAsia" w:ascii="宋体"/>
          <w:sz w:val="32"/>
          <w:szCs w:val="32"/>
        </w:rPr>
        <w:t>万元，占。本年收入中，一般公共预算拨款收入</w:t>
      </w:r>
      <w:r>
        <w:rPr>
          <w:rFonts w:ascii="宋体"/>
          <w:sz w:val="32"/>
          <w:szCs w:val="32"/>
        </w:rPr>
        <w:t>1561.87</w:t>
      </w:r>
      <w:r>
        <w:rPr>
          <w:rFonts w:hint="eastAsia" w:ascii="宋体"/>
          <w:sz w:val="32"/>
          <w:szCs w:val="32"/>
        </w:rPr>
        <w:t>万元，占</w:t>
      </w:r>
      <w:r>
        <w:rPr>
          <w:rFonts w:ascii="宋体"/>
          <w:sz w:val="32"/>
          <w:szCs w:val="32"/>
        </w:rPr>
        <w:t>100</w:t>
      </w:r>
      <w:r>
        <w:rPr>
          <w:rFonts w:hint="eastAsia" w:ascii="宋体"/>
          <w:sz w:val="32"/>
          <w:szCs w:val="32"/>
        </w:rPr>
        <w:t>%。</w:t>
      </w:r>
    </w:p>
    <w:p>
      <w:pPr>
        <w:tabs>
          <w:tab w:val="left" w:pos="1200"/>
          <w:tab w:val="right" w:pos="8306"/>
        </w:tabs>
        <w:ind w:firstLine="630"/>
        <w:jc w:val="left"/>
        <w:outlineLvl w:val="0"/>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w:t>
      </w:r>
      <w:r>
        <w:rPr>
          <w:rFonts w:ascii="宋体"/>
          <w:sz w:val="32"/>
          <w:szCs w:val="32"/>
        </w:rPr>
        <w:t>1561.87</w:t>
      </w:r>
      <w:r>
        <w:rPr>
          <w:rFonts w:hint="eastAsia" w:ascii="宋体"/>
          <w:sz w:val="32"/>
          <w:szCs w:val="32"/>
        </w:rPr>
        <w:t>万元，其中：基本支出</w:t>
      </w:r>
      <w:r>
        <w:rPr>
          <w:rFonts w:ascii="宋体"/>
          <w:sz w:val="32"/>
          <w:szCs w:val="32"/>
        </w:rPr>
        <w:t>1561.87</w:t>
      </w:r>
      <w:r>
        <w:rPr>
          <w:rFonts w:hint="eastAsia" w:ascii="宋体"/>
          <w:sz w:val="32"/>
          <w:szCs w:val="32"/>
        </w:rPr>
        <w:t>万元，占</w:t>
      </w:r>
      <w:r>
        <w:rPr>
          <w:rFonts w:ascii="宋体"/>
          <w:sz w:val="32"/>
          <w:szCs w:val="32"/>
        </w:rPr>
        <w:t>100</w:t>
      </w:r>
      <w:r>
        <w:rPr>
          <w:rFonts w:hint="eastAsia" w:ascii="宋体"/>
          <w:sz w:val="32"/>
          <w:szCs w:val="32"/>
        </w:rPr>
        <w:t>%；项目支出</w:t>
      </w:r>
      <w:r>
        <w:rPr>
          <w:rFonts w:ascii="宋体"/>
          <w:sz w:val="32"/>
          <w:szCs w:val="32"/>
        </w:rPr>
        <w:t>0</w:t>
      </w:r>
      <w:r>
        <w:rPr>
          <w:rFonts w:hint="eastAsia" w:ascii="宋体"/>
          <w:sz w:val="32"/>
          <w:szCs w:val="32"/>
        </w:rPr>
        <w:t>万元，占</w:t>
      </w:r>
      <w:r>
        <w:rPr>
          <w:rFonts w:ascii="宋体"/>
          <w:sz w:val="32"/>
          <w:szCs w:val="32"/>
        </w:rPr>
        <w:t>0</w:t>
      </w:r>
      <w:r>
        <w:rPr>
          <w:rFonts w:hint="eastAsia" w:ascii="宋体"/>
          <w:sz w:val="32"/>
          <w:szCs w:val="32"/>
        </w:rPr>
        <w:t xml:space="preserve"> %。基本支出中，人员经费</w:t>
      </w:r>
      <w:r>
        <w:rPr>
          <w:rFonts w:ascii="宋体"/>
          <w:sz w:val="32"/>
          <w:szCs w:val="32"/>
        </w:rPr>
        <w:t>1561.87</w:t>
      </w:r>
      <w:r>
        <w:rPr>
          <w:rFonts w:hint="eastAsia" w:ascii="宋体"/>
          <w:sz w:val="32"/>
          <w:szCs w:val="32"/>
        </w:rPr>
        <w:t>万元，占</w:t>
      </w:r>
      <w:r>
        <w:rPr>
          <w:rFonts w:ascii="宋体"/>
          <w:sz w:val="32"/>
          <w:szCs w:val="32"/>
        </w:rPr>
        <w:t>100</w:t>
      </w:r>
      <w:r>
        <w:rPr>
          <w:rFonts w:hint="eastAsia" w:ascii="宋体"/>
          <w:sz w:val="32"/>
          <w:szCs w:val="32"/>
        </w:rPr>
        <w:t>%；公用经费</w:t>
      </w:r>
      <w:r>
        <w:rPr>
          <w:rFonts w:ascii="宋体"/>
          <w:sz w:val="32"/>
          <w:szCs w:val="32"/>
        </w:rPr>
        <w:t>0</w:t>
      </w:r>
      <w:r>
        <w:rPr>
          <w:rFonts w:hint="eastAsia" w:ascii="宋体"/>
          <w:sz w:val="32"/>
          <w:szCs w:val="32"/>
        </w:rPr>
        <w:t>万元，占</w:t>
      </w:r>
      <w:r>
        <w:rPr>
          <w:rFonts w:ascii="宋体"/>
          <w:sz w:val="32"/>
          <w:szCs w:val="32"/>
        </w:rPr>
        <w:t>0</w:t>
      </w:r>
      <w:r>
        <w:rPr>
          <w:rFonts w:hint="eastAsia" w:ascii="宋体"/>
          <w:sz w:val="32"/>
          <w:szCs w:val="32"/>
        </w:rPr>
        <w:t xml:space="preserve"> %。</w:t>
      </w:r>
    </w:p>
    <w:p>
      <w:pPr>
        <w:tabs>
          <w:tab w:val="left" w:pos="1200"/>
          <w:tab w:val="right" w:pos="8306"/>
        </w:tabs>
        <w:ind w:firstLine="630"/>
        <w:jc w:val="left"/>
        <w:outlineLvl w:val="0"/>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w:t>
      </w:r>
      <w:r>
        <w:rPr>
          <w:rFonts w:ascii="宋体"/>
          <w:sz w:val="32"/>
          <w:szCs w:val="32"/>
        </w:rPr>
        <w:t>1561.87</w:t>
      </w:r>
      <w:r>
        <w:rPr>
          <w:rFonts w:hint="eastAsia" w:ascii="宋体"/>
          <w:sz w:val="32"/>
          <w:szCs w:val="32"/>
        </w:rPr>
        <w:t>万元，其中：一般公共预算拨款</w:t>
      </w:r>
      <w:r>
        <w:rPr>
          <w:rFonts w:ascii="宋体"/>
          <w:sz w:val="32"/>
          <w:szCs w:val="32"/>
        </w:rPr>
        <w:t>1561.87</w:t>
      </w:r>
      <w:r>
        <w:rPr>
          <w:rFonts w:hint="eastAsia" w:ascii="宋体"/>
          <w:sz w:val="32"/>
          <w:szCs w:val="32"/>
        </w:rPr>
        <w:t>万元。支出包括：教育支出1</w:t>
      </w:r>
      <w:r>
        <w:rPr>
          <w:rFonts w:ascii="宋体"/>
          <w:sz w:val="32"/>
          <w:szCs w:val="32"/>
        </w:rPr>
        <w:t>196.25</w:t>
      </w:r>
      <w:r>
        <w:rPr>
          <w:rFonts w:hint="eastAsia" w:ascii="宋体"/>
          <w:sz w:val="32"/>
          <w:szCs w:val="32"/>
        </w:rPr>
        <w:t>万元，社会保障和就业支出2</w:t>
      </w:r>
      <w:r>
        <w:rPr>
          <w:rFonts w:ascii="宋体"/>
          <w:sz w:val="32"/>
          <w:szCs w:val="32"/>
        </w:rPr>
        <w:t>38.39</w:t>
      </w:r>
      <w:r>
        <w:rPr>
          <w:rFonts w:hint="eastAsia" w:ascii="宋体"/>
          <w:sz w:val="32"/>
          <w:szCs w:val="32"/>
        </w:rPr>
        <w:t>万元，卫生健康支出4</w:t>
      </w:r>
      <w:r>
        <w:rPr>
          <w:rFonts w:ascii="宋体"/>
          <w:sz w:val="32"/>
          <w:szCs w:val="32"/>
        </w:rPr>
        <w:t>7.37</w:t>
      </w:r>
      <w:r>
        <w:rPr>
          <w:rFonts w:hint="eastAsia" w:ascii="宋体"/>
          <w:sz w:val="32"/>
          <w:szCs w:val="32"/>
        </w:rPr>
        <w:t>万元，住房保障支出7</w:t>
      </w:r>
      <w:r>
        <w:rPr>
          <w:rFonts w:ascii="宋体"/>
          <w:sz w:val="32"/>
          <w:szCs w:val="32"/>
        </w:rPr>
        <w:t>9.86</w:t>
      </w:r>
      <w:r>
        <w:rPr>
          <w:rFonts w:hint="eastAsia" w:ascii="宋体"/>
          <w:sz w:val="32"/>
          <w:szCs w:val="32"/>
        </w:rPr>
        <w:t>万元。</w:t>
      </w:r>
    </w:p>
    <w:p>
      <w:pPr>
        <w:tabs>
          <w:tab w:val="left" w:pos="1200"/>
          <w:tab w:val="right" w:pos="8306"/>
        </w:tabs>
        <w:ind w:firstLine="630"/>
        <w:jc w:val="left"/>
        <w:outlineLvl w:val="0"/>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 xml:space="preserve">2021年一般公共预算当年拨款 </w:t>
      </w:r>
      <w:r>
        <w:rPr>
          <w:rFonts w:ascii="宋体"/>
          <w:sz w:val="32"/>
          <w:szCs w:val="32"/>
        </w:rPr>
        <w:t>1561.87</w:t>
      </w:r>
      <w:r>
        <w:rPr>
          <w:rFonts w:hint="eastAsia" w:ascii="宋体"/>
          <w:sz w:val="32"/>
          <w:szCs w:val="32"/>
        </w:rPr>
        <w:t xml:space="preserve">万元，其中：基本支出 </w:t>
      </w:r>
      <w:r>
        <w:rPr>
          <w:rFonts w:ascii="宋体"/>
          <w:sz w:val="32"/>
          <w:szCs w:val="32"/>
        </w:rPr>
        <w:t>1561.87</w:t>
      </w:r>
      <w:r>
        <w:rPr>
          <w:rFonts w:hint="eastAsia" w:ascii="宋体"/>
          <w:sz w:val="32"/>
          <w:szCs w:val="32"/>
        </w:rPr>
        <w:t>万元，占</w:t>
      </w:r>
      <w:r>
        <w:rPr>
          <w:rFonts w:ascii="宋体"/>
          <w:sz w:val="32"/>
          <w:szCs w:val="32"/>
        </w:rPr>
        <w:t>100</w:t>
      </w:r>
      <w:r>
        <w:rPr>
          <w:rFonts w:hint="eastAsia" w:ascii="宋体"/>
          <w:sz w:val="32"/>
          <w:szCs w:val="32"/>
        </w:rPr>
        <w:t>%；项目支出</w:t>
      </w:r>
      <w:r>
        <w:rPr>
          <w:rFonts w:ascii="宋体"/>
          <w:sz w:val="32"/>
          <w:szCs w:val="32"/>
        </w:rPr>
        <w:t>0</w:t>
      </w:r>
      <w:r>
        <w:rPr>
          <w:rFonts w:hint="eastAsia" w:ascii="宋体"/>
          <w:sz w:val="32"/>
          <w:szCs w:val="32"/>
        </w:rPr>
        <w:t>万元，占</w:t>
      </w:r>
      <w:r>
        <w:rPr>
          <w:rFonts w:ascii="宋体"/>
          <w:sz w:val="32"/>
          <w:szCs w:val="32"/>
        </w:rPr>
        <w:t>0</w:t>
      </w:r>
      <w:r>
        <w:rPr>
          <w:rFonts w:hint="eastAsia" w:ascii="宋体"/>
          <w:sz w:val="32"/>
          <w:szCs w:val="32"/>
        </w:rPr>
        <w:t>%。基本支出中，人员经费</w:t>
      </w:r>
      <w:r>
        <w:rPr>
          <w:rFonts w:ascii="宋体"/>
          <w:sz w:val="32"/>
          <w:szCs w:val="32"/>
        </w:rPr>
        <w:t>1561.87</w:t>
      </w:r>
      <w:r>
        <w:rPr>
          <w:rFonts w:hint="eastAsia" w:ascii="宋体"/>
          <w:sz w:val="32"/>
          <w:szCs w:val="32"/>
        </w:rPr>
        <w:t>万元，占</w:t>
      </w:r>
      <w:r>
        <w:rPr>
          <w:rFonts w:ascii="宋体"/>
          <w:sz w:val="32"/>
          <w:szCs w:val="32"/>
        </w:rPr>
        <w:t>100</w:t>
      </w:r>
      <w:r>
        <w:rPr>
          <w:rFonts w:hint="eastAsia" w:ascii="宋体"/>
          <w:sz w:val="32"/>
          <w:szCs w:val="32"/>
        </w:rPr>
        <w:t xml:space="preserve"> %；公用经费     </w:t>
      </w:r>
      <w:r>
        <w:rPr>
          <w:rFonts w:ascii="宋体"/>
          <w:sz w:val="32"/>
          <w:szCs w:val="32"/>
        </w:rPr>
        <w:t>0</w:t>
      </w:r>
      <w:r>
        <w:rPr>
          <w:rFonts w:hint="eastAsia" w:ascii="宋体"/>
          <w:sz w:val="32"/>
          <w:szCs w:val="32"/>
        </w:rPr>
        <w:t>万元，占</w:t>
      </w:r>
      <w:r>
        <w:rPr>
          <w:rFonts w:ascii="宋体"/>
          <w:sz w:val="32"/>
          <w:szCs w:val="32"/>
        </w:rPr>
        <w:t>0</w:t>
      </w:r>
      <w:r>
        <w:rPr>
          <w:rFonts w:hint="eastAsia" w:ascii="宋体"/>
          <w:sz w:val="32"/>
          <w:szCs w:val="32"/>
        </w:rPr>
        <w:t>%。</w:t>
      </w:r>
    </w:p>
    <w:p>
      <w:pPr>
        <w:tabs>
          <w:tab w:val="left" w:pos="1200"/>
          <w:tab w:val="right" w:pos="8306"/>
        </w:tabs>
        <w:ind w:firstLine="630"/>
        <w:jc w:val="left"/>
        <w:outlineLvl w:val="0"/>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w:t>
      </w:r>
      <w:r>
        <w:rPr>
          <w:rFonts w:ascii="宋体"/>
          <w:sz w:val="32"/>
          <w:szCs w:val="32"/>
        </w:rPr>
        <w:t>1561.87</w:t>
      </w:r>
      <w:r>
        <w:rPr>
          <w:rFonts w:hint="eastAsia" w:ascii="宋体"/>
          <w:sz w:val="32"/>
          <w:szCs w:val="32"/>
        </w:rPr>
        <w:t>万元，其中：人员经费</w:t>
      </w:r>
      <w:r>
        <w:rPr>
          <w:rFonts w:ascii="宋体"/>
          <w:sz w:val="32"/>
          <w:szCs w:val="32"/>
        </w:rPr>
        <w:t>1561.87</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hint="eastAsia" w:ascii="宋体"/>
          <w:sz w:val="32"/>
          <w:szCs w:val="32"/>
        </w:rPr>
      </w:pPr>
      <w:r>
        <w:rPr>
          <w:rFonts w:hint="eastAsia" w:ascii="宋体"/>
          <w:sz w:val="32"/>
          <w:szCs w:val="32"/>
        </w:rPr>
        <w:t>公用经费</w:t>
      </w:r>
      <w:r>
        <w:rPr>
          <w:rFonts w:ascii="宋体"/>
          <w:sz w:val="32"/>
          <w:szCs w:val="32"/>
        </w:rPr>
        <w:t>0</w:t>
      </w:r>
      <w:r>
        <w:rPr>
          <w:rFonts w:hint="eastAsia" w:ascii="宋体"/>
          <w:sz w:val="32"/>
          <w:szCs w:val="32"/>
        </w:rPr>
        <w:t>万元。</w:t>
      </w:r>
    </w:p>
    <w:p>
      <w:pPr>
        <w:tabs>
          <w:tab w:val="left" w:pos="1200"/>
          <w:tab w:val="right" w:pos="8306"/>
        </w:tabs>
        <w:ind w:firstLine="630"/>
        <w:jc w:val="left"/>
        <w:outlineLvl w:val="0"/>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rPr>
        <w:t>2021年“三公”经费预算数为0 万元，比2020年预算数减少 0万元。其中：</w:t>
      </w:r>
    </w:p>
    <w:p>
      <w:pPr>
        <w:tabs>
          <w:tab w:val="left" w:pos="1200"/>
          <w:tab w:val="right" w:pos="8306"/>
        </w:tabs>
        <w:ind w:firstLine="630"/>
        <w:jc w:val="left"/>
        <w:rPr>
          <w:rFonts w:hint="eastAsia" w:ascii="宋体"/>
          <w:sz w:val="32"/>
          <w:szCs w:val="32"/>
        </w:rPr>
      </w:pPr>
      <w:r>
        <w:rPr>
          <w:rFonts w:hint="eastAsia" w:ascii="宋体"/>
          <w:sz w:val="32"/>
          <w:szCs w:val="32"/>
        </w:rPr>
        <w:t>1、因公出国（境）费  0 万元，与2020年数持平。</w:t>
      </w:r>
    </w:p>
    <w:p>
      <w:pPr>
        <w:tabs>
          <w:tab w:val="left" w:pos="1200"/>
          <w:tab w:val="right" w:pos="8306"/>
        </w:tabs>
        <w:ind w:firstLine="630"/>
        <w:jc w:val="left"/>
        <w:rPr>
          <w:rFonts w:hint="eastAsia" w:ascii="宋体"/>
          <w:sz w:val="32"/>
          <w:szCs w:val="32"/>
        </w:rPr>
      </w:pPr>
      <w:r>
        <w:rPr>
          <w:rFonts w:hint="eastAsia" w:ascii="宋体"/>
          <w:sz w:val="32"/>
          <w:szCs w:val="32"/>
        </w:rPr>
        <w:t>2、公务接待费 0 万元，与2020年数持平。</w:t>
      </w:r>
    </w:p>
    <w:p>
      <w:pPr>
        <w:tabs>
          <w:tab w:val="left" w:pos="1200"/>
          <w:tab w:val="right" w:pos="8306"/>
        </w:tabs>
        <w:ind w:firstLine="630"/>
        <w:jc w:val="left"/>
        <w:rPr>
          <w:rFonts w:hint="eastAsia" w:ascii="宋体"/>
          <w:sz w:val="32"/>
          <w:szCs w:val="32"/>
        </w:rPr>
      </w:pPr>
      <w:r>
        <w:rPr>
          <w:rFonts w:hint="eastAsia" w:ascii="宋体"/>
          <w:sz w:val="32"/>
          <w:szCs w:val="32"/>
        </w:rPr>
        <w:t>3、公务用车购置及运行费0 万元，与2020年数持平。</w:t>
      </w:r>
    </w:p>
    <w:p>
      <w:pPr>
        <w:tabs>
          <w:tab w:val="left" w:pos="1200"/>
          <w:tab w:val="right" w:pos="8306"/>
        </w:tabs>
        <w:ind w:firstLine="630"/>
        <w:jc w:val="left"/>
        <w:outlineLvl w:val="0"/>
        <w:rPr>
          <w:rFonts w:hint="eastAsia"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outlineLvl w:val="0"/>
        <w:rPr>
          <w:rFonts w:hint="eastAsia" w:ascii="宋体"/>
          <w:sz w:val="32"/>
          <w:szCs w:val="32"/>
        </w:rPr>
      </w:pPr>
      <w:r>
        <w:rPr>
          <w:rFonts w:hint="eastAsia" w:ascii="宋体"/>
          <w:sz w:val="32"/>
          <w:szCs w:val="32"/>
        </w:rPr>
        <w:t>九、其他重要事项的说明情况</w:t>
      </w:r>
    </w:p>
    <w:p>
      <w:pPr>
        <w:outlineLvl w:val="0"/>
        <w:rPr>
          <w:rFonts w:hint="eastAsia" w:ascii="宋体"/>
          <w:sz w:val="32"/>
          <w:szCs w:val="32"/>
        </w:rPr>
      </w:pPr>
      <w:r>
        <w:rPr>
          <w:rFonts w:hint="eastAsia" w:ascii="宋体"/>
          <w:sz w:val="32"/>
          <w:szCs w:val="32"/>
        </w:rPr>
        <w:t xml:space="preserve">   （一）机关运行经费</w:t>
      </w:r>
    </w:p>
    <w:p>
      <w:pPr>
        <w:ind w:firstLine="645"/>
        <w:rPr>
          <w:rFonts w:hint="eastAsia" w:ascii="宋体"/>
          <w:sz w:val="32"/>
          <w:szCs w:val="32"/>
        </w:rPr>
      </w:pPr>
      <w:r>
        <w:rPr>
          <w:rFonts w:hint="eastAsia" w:ascii="宋体"/>
          <w:sz w:val="32"/>
          <w:szCs w:val="32"/>
        </w:rPr>
        <w:t>2021年部门本级共  0家行政单位，机关运行经费财政拨款预算 0 万元，比2021年预算增加0万元，增长0 %。主要原因是：   。</w:t>
      </w:r>
    </w:p>
    <w:p>
      <w:pPr>
        <w:ind w:firstLine="480" w:firstLineChars="150"/>
        <w:outlineLvl w:val="0"/>
        <w:rPr>
          <w:rFonts w:hint="eastAsia"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rPr>
        <w:t>2021年政府采购预算总额0 万元，其中：政府采购货物预算0 万元，政府采购工作预算0 万元，政府采购服务预算0 万元。</w:t>
      </w:r>
    </w:p>
    <w:p>
      <w:pPr>
        <w:outlineLvl w:val="0"/>
        <w:rPr>
          <w:rFonts w:hint="eastAsia" w:ascii="宋体"/>
          <w:sz w:val="32"/>
          <w:szCs w:val="32"/>
        </w:rPr>
      </w:pPr>
      <w:r>
        <w:rPr>
          <w:rFonts w:hint="eastAsia" w:ascii="宋体"/>
          <w:sz w:val="32"/>
          <w:szCs w:val="32"/>
        </w:rPr>
        <w:t>（三）国有资产占有使用情况</w:t>
      </w:r>
    </w:p>
    <w:p>
      <w:pPr>
        <w:ind w:firstLine="480" w:firstLineChars="150"/>
        <w:rPr>
          <w:rFonts w:hint="eastAsia" w:ascii="宋体"/>
          <w:sz w:val="32"/>
          <w:szCs w:val="32"/>
        </w:rPr>
      </w:pPr>
      <w:r>
        <w:rPr>
          <w:rFonts w:hint="eastAsia" w:ascii="宋体"/>
          <w:sz w:val="32"/>
          <w:szCs w:val="32"/>
        </w:rPr>
        <w:t>截止至2020年12月31日，部门本级和所属各预算单位共有车辆0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outlineLvl w:val="0"/>
        <w:rPr>
          <w:rFonts w:hint="eastAsia" w:ascii="宋体"/>
          <w:sz w:val="32"/>
          <w:szCs w:val="32"/>
        </w:rPr>
      </w:pPr>
      <w:r>
        <w:rPr>
          <w:rFonts w:hint="eastAsia" w:ascii="宋体"/>
          <w:sz w:val="32"/>
          <w:szCs w:val="32"/>
        </w:rPr>
        <w:t>（四）项目支出绩效目标情况说明</w:t>
      </w:r>
    </w:p>
    <w:p>
      <w:pPr>
        <w:tabs>
          <w:tab w:val="left" w:pos="710"/>
        </w:tabs>
        <w:rPr>
          <w:rFonts w:hint="eastAsia" w:ascii="宋体"/>
          <w:sz w:val="32"/>
          <w:szCs w:val="32"/>
        </w:rPr>
      </w:pPr>
      <w:r>
        <w:rPr>
          <w:rFonts w:hint="eastAsia" w:ascii="宋体"/>
          <w:sz w:val="32"/>
          <w:szCs w:val="32"/>
        </w:rPr>
        <w:tab/>
      </w:r>
      <w:r>
        <w:rPr>
          <w:rFonts w:hint="eastAsia" w:ascii="宋体"/>
          <w:sz w:val="32"/>
          <w:szCs w:val="32"/>
        </w:rPr>
        <w:t>按照全面实施预算绩效管理的要求，结合本部门职能和重点工作，2021年确定 0  个项目支出的绩效目标和指标，涉及金额  0 万元。</w:t>
      </w:r>
    </w:p>
    <w:p>
      <w:pPr>
        <w:tabs>
          <w:tab w:val="left" w:pos="1200"/>
          <w:tab w:val="right" w:pos="8306"/>
        </w:tabs>
        <w:ind w:firstLine="630"/>
        <w:jc w:val="left"/>
        <w:rPr>
          <w:rFonts w:ascii="宋体"/>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jJiOWJhZDJlM2FlYjk5Yjg3YmQ2NDc2MGNjZWRhY2MifQ=="/>
  </w:docVars>
  <w:rsids>
    <w:rsidRoot w:val="00AC728F"/>
    <w:rsid w:val="00091FFB"/>
    <w:rsid w:val="00094287"/>
    <w:rsid w:val="002A7E71"/>
    <w:rsid w:val="00485FAA"/>
    <w:rsid w:val="005B50B8"/>
    <w:rsid w:val="007354F7"/>
    <w:rsid w:val="009451D3"/>
    <w:rsid w:val="00995518"/>
    <w:rsid w:val="00AC728F"/>
    <w:rsid w:val="00C87355"/>
    <w:rsid w:val="00DC511D"/>
    <w:rsid w:val="00F201CE"/>
    <w:rsid w:val="329A20DA"/>
    <w:rsid w:val="675F2C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5"/>
    <w:semiHidden/>
    <w:unhideWhenUsed/>
    <w:uiPriority w:val="0"/>
    <w:rPr>
      <w:rFonts w:ascii="宋体"/>
      <w:sz w:val="18"/>
      <w:szCs w:val="18"/>
    </w:rPr>
  </w:style>
  <w:style w:type="paragraph" w:styleId="4">
    <w:name w:val="Date"/>
    <w:basedOn w:val="1"/>
    <w:next w:val="1"/>
    <w:link w:val="13"/>
    <w:semiHidden/>
    <w:qFormat/>
    <w:uiPriority w:val="99"/>
    <w:pPr>
      <w:ind w:left="100" w:leftChars="2500"/>
    </w:pPr>
  </w:style>
  <w:style w:type="paragraph" w:styleId="5">
    <w:name w:val="footer"/>
    <w:basedOn w:val="1"/>
    <w:link w:val="12"/>
    <w:semiHidden/>
    <w:qFormat/>
    <w:uiPriority w:val="99"/>
    <w:pPr>
      <w:tabs>
        <w:tab w:val="center" w:pos="4153"/>
        <w:tab w:val="right" w:pos="8306"/>
      </w:tabs>
      <w:snapToGrid w:val="0"/>
      <w:jc w:val="left"/>
    </w:pPr>
    <w:rPr>
      <w:sz w:val="18"/>
      <w:szCs w:val="18"/>
    </w:rPr>
  </w:style>
  <w:style w:type="paragraph" w:styleId="6">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列表段落1"/>
    <w:basedOn w:val="1"/>
    <w:qFormat/>
    <w:uiPriority w:val="99"/>
    <w:pPr>
      <w:ind w:firstLine="420" w:firstLineChars="200"/>
    </w:pPr>
  </w:style>
  <w:style w:type="paragraph" w:customStyle="1" w:styleId="10">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link w:val="6"/>
    <w:uiPriority w:val="99"/>
    <w:rPr>
      <w:rFonts w:cs="Times New Roman"/>
      <w:sz w:val="18"/>
      <w:szCs w:val="18"/>
    </w:rPr>
  </w:style>
  <w:style w:type="character" w:customStyle="1" w:styleId="12">
    <w:name w:val="页脚 Char"/>
    <w:link w:val="5"/>
    <w:uiPriority w:val="99"/>
    <w:rPr>
      <w:rFonts w:cs="Times New Roman"/>
      <w:sz w:val="18"/>
      <w:szCs w:val="18"/>
    </w:rPr>
  </w:style>
  <w:style w:type="character" w:customStyle="1" w:styleId="13">
    <w:name w:val="日期 Char"/>
    <w:link w:val="4"/>
    <w:uiPriority w:val="99"/>
    <w:rPr>
      <w:rFonts w:cs="Times New Roman"/>
    </w:rPr>
  </w:style>
  <w:style w:type="character" w:customStyle="1" w:styleId="14">
    <w:name w:val="标题 5 Char"/>
    <w:link w:val="2"/>
    <w:uiPriority w:val="9"/>
    <w:rPr>
      <w:rFonts w:ascii="宋体" w:hAnsi="宋体" w:cs="宋体"/>
      <w:b/>
      <w:bCs/>
    </w:rPr>
  </w:style>
  <w:style w:type="character" w:customStyle="1" w:styleId="15">
    <w:name w:val="文档结构图 Char"/>
    <w:basedOn w:val="8"/>
    <w:link w:val="3"/>
    <w:semiHidden/>
    <w:uiPriority w:val="0"/>
    <w:rPr>
      <w:rFonts w:ascii="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15</Pages>
  <Words>2943</Words>
  <Characters>3145</Characters>
  <Lines>25</Lines>
  <Paragraphs>7</Paragraphs>
  <TotalTime>1</TotalTime>
  <ScaleCrop>false</ScaleCrop>
  <LinksUpToDate>false</LinksUpToDate>
  <CharactersWithSpaces>3522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2022-09-09T03:40:00Z</dcterms:created>
  <dc:creator>Administrator</dc:creator>
  <cp:lastModifiedBy>Administrator</cp:lastModifiedBy>
  <cp:lastPrinted>2019-04-13T09:33:00Z</cp:lastPrinted>
  <dcterms:modified xsi:type="dcterms:W3CDTF">2022-09-09T05:28:39Z</dcterms:modified>
  <dc:title>梨树县XXX局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95D91A07E59B43FABAE2143599FFE9F4</vt:lpwstr>
  </property>
</Properties>
</file>